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5C1226">
      <w:pPr>
        <w:shd w:val="clear" w:color="auto" w:fill="FFFFFF"/>
        <w:spacing w:after="0" w:line="480" w:lineRule="auto"/>
        <w:jc w:val="center"/>
        <w:rPr>
          <w:rFonts w:ascii="Arial" w:hAnsi="Arial" w:eastAsia="Times New Roman" w:cs="Arial"/>
          <w:color w:val="000000"/>
          <w:kern w:val="0"/>
          <w:sz w:val="24"/>
          <w:szCs w:val="24"/>
          <w:lang w:eastAsia="sk-SK"/>
        </w:rPr>
      </w:pPr>
      <w:r>
        <w:rPr>
          <w:rFonts w:ascii="Century" w:hAnsi="Century" w:eastAsia="Times New Roman" w:cs="Arial"/>
          <w:b/>
          <w:bCs/>
          <w:kern w:val="0"/>
          <w:sz w:val="32"/>
          <w:szCs w:val="32"/>
          <w:lang w:eastAsia="sk-SK"/>
        </w:rPr>
        <w:t>ZÁPIS DETÍ DO MATERSKEJ ŠKOLY  Ľ. ŠTÚRA 15, ŽELIEZOVCE NA ŠKOLSKÝ ROK 202</w:t>
      </w:r>
      <w:r>
        <w:rPr>
          <w:rFonts w:hint="default" w:ascii="Century" w:hAnsi="Century" w:eastAsia="Times New Roman" w:cs="Arial"/>
          <w:b/>
          <w:bCs/>
          <w:kern w:val="0"/>
          <w:sz w:val="32"/>
          <w:szCs w:val="32"/>
          <w:lang w:val="en-US" w:eastAsia="sk-SK"/>
        </w:rPr>
        <w:t>6</w:t>
      </w:r>
      <w:r>
        <w:rPr>
          <w:rFonts w:ascii="Century" w:hAnsi="Century" w:eastAsia="Times New Roman" w:cs="Arial"/>
          <w:b/>
          <w:bCs/>
          <w:kern w:val="0"/>
          <w:sz w:val="32"/>
          <w:szCs w:val="32"/>
          <w:lang w:eastAsia="sk-SK"/>
        </w:rPr>
        <w:t>/202</w:t>
      </w:r>
      <w:r>
        <w:rPr>
          <w:rFonts w:hint="default" w:ascii="Century" w:hAnsi="Century" w:eastAsia="Times New Roman" w:cs="Arial"/>
          <w:b/>
          <w:bCs/>
          <w:kern w:val="0"/>
          <w:sz w:val="32"/>
          <w:szCs w:val="32"/>
          <w:lang w:val="en-US" w:eastAsia="sk-SK"/>
        </w:rPr>
        <w:t xml:space="preserve">7 </w:t>
      </w:r>
      <w:r>
        <w:rPr>
          <w:rFonts w:ascii="Century" w:hAnsi="Century" w:eastAsia="Times New Roman" w:cs="Arial"/>
          <w:b/>
          <w:bCs/>
          <w:kern w:val="0"/>
          <w:sz w:val="32"/>
          <w:szCs w:val="32"/>
          <w:lang w:eastAsia="sk-SK"/>
        </w:rPr>
        <w:t xml:space="preserve"> </w:t>
      </w:r>
    </w:p>
    <w:p w14:paraId="0D45F086">
      <w:p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Miesto podávania žiadostí:</w:t>
      </w:r>
      <w:r>
        <w:rPr>
          <w:rFonts w:hint="default" w:ascii="Arial" w:hAnsi="Arial" w:eastAsia="Times New Roman" w:cs="Arial"/>
          <w:color w:val="000000"/>
          <w:kern w:val="0"/>
          <w:sz w:val="24"/>
          <w:szCs w:val="24"/>
          <w:lang w:val="en-US" w:eastAsia="sk-SK"/>
        </w:rPr>
        <w:t xml:space="preserve"> elektronicky eprihlasky.iedu.sk  alebo osobne</w:t>
      </w:r>
      <w:r>
        <w:rPr>
          <w:rFonts w:ascii="Arial" w:hAnsi="Arial" w:eastAsia="Times New Roman" w:cs="Arial"/>
          <w:color w:val="000000"/>
          <w:kern w:val="0"/>
          <w:sz w:val="24"/>
          <w:szCs w:val="24"/>
          <w:lang w:eastAsia="sk-SK"/>
        </w:rPr>
        <w:t xml:space="preserve"> Materská škola Ľ. Štúra 15, Želiezovce, </w:t>
      </w:r>
    </w:p>
    <w:p w14:paraId="69499766">
      <w:p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Podmienky prijímania detí do MŠ:</w:t>
      </w:r>
    </w:p>
    <w:p w14:paraId="01419240">
      <w:pPr>
        <w:shd w:val="clear" w:color="auto" w:fill="FFFFFF"/>
        <w:spacing w:after="0" w:line="480" w:lineRule="auto"/>
        <w:ind w:left="19"/>
        <w:rPr>
          <w:rFonts w:ascii="Arial" w:hAnsi="Arial" w:eastAsia="Times New Roman" w:cs="Arial"/>
          <w:color w:val="000000"/>
          <w:kern w:val="0"/>
          <w:sz w:val="24"/>
          <w:szCs w:val="24"/>
          <w:lang w:eastAsia="sk-SK"/>
        </w:rPr>
      </w:pPr>
      <w:r>
        <w:rPr>
          <w:rFonts w:ascii="Arial" w:hAnsi="Arial" w:eastAsia="Times New Roman" w:cs="Arial"/>
          <w:b/>
          <w:bCs/>
          <w:color w:val="000000"/>
          <w:kern w:val="0"/>
          <w:sz w:val="24"/>
          <w:szCs w:val="24"/>
          <w:lang w:eastAsia="sk-SK"/>
        </w:rPr>
        <w:t>Na predpimárne vzdelávanie sa prednostne prijímajú deti:</w:t>
      </w:r>
    </w:p>
    <w:p w14:paraId="373CA5E6">
      <w:pPr>
        <w:numPr>
          <w:ilvl w:val="0"/>
          <w:numId w:val="1"/>
        </w:num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b/>
          <w:bCs/>
          <w:color w:val="000000"/>
          <w:kern w:val="0"/>
          <w:sz w:val="24"/>
          <w:szCs w:val="24"/>
          <w:lang w:eastAsia="sk-SK"/>
        </w:rPr>
        <w:t>pre ktoré je plnenie predprimárneho vzdelávania povinné</w:t>
      </w:r>
      <w:r>
        <w:rPr>
          <w:rFonts w:ascii="Arial" w:hAnsi="Arial" w:eastAsia="Times New Roman" w:cs="Arial"/>
          <w:color w:val="000000"/>
          <w:kern w:val="0"/>
          <w:sz w:val="24"/>
          <w:szCs w:val="24"/>
          <w:lang w:eastAsia="sk-SK"/>
        </w:rPr>
        <w:t> – deti,  ktoré dovŕšia 5 rokov do 31.augusta 202</w:t>
      </w:r>
      <w:r>
        <w:rPr>
          <w:rFonts w:hint="default" w:ascii="Arial" w:hAnsi="Arial" w:eastAsia="Times New Roman" w:cs="Arial"/>
          <w:color w:val="000000"/>
          <w:kern w:val="0"/>
          <w:sz w:val="24"/>
          <w:szCs w:val="24"/>
          <w:lang w:val="en-US" w:eastAsia="sk-SK"/>
        </w:rPr>
        <w:t>6</w:t>
      </w:r>
      <w:r>
        <w:rPr>
          <w:rFonts w:ascii="Arial" w:hAnsi="Arial" w:eastAsia="Times New Roman" w:cs="Arial"/>
          <w:color w:val="000000"/>
          <w:kern w:val="0"/>
          <w:sz w:val="24"/>
          <w:szCs w:val="24"/>
          <w:lang w:eastAsia="sk-SK"/>
        </w:rPr>
        <w:t>.</w:t>
      </w:r>
    </w:p>
    <w:p w14:paraId="3F1F65AD">
      <w:pPr>
        <w:numPr>
          <w:ilvl w:val="0"/>
          <w:numId w:val="1"/>
        </w:num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ktoré </w:t>
      </w:r>
      <w:r>
        <w:rPr>
          <w:rFonts w:ascii="Arial" w:hAnsi="Arial" w:eastAsia="Times New Roman" w:cs="Arial"/>
          <w:b/>
          <w:bCs/>
          <w:color w:val="000000"/>
          <w:kern w:val="0"/>
          <w:sz w:val="24"/>
          <w:szCs w:val="24"/>
          <w:lang w:eastAsia="sk-SK"/>
        </w:rPr>
        <w:t>dovŕšili šesť rokov veku, ale nedosiahli školskú spôsobilosť</w:t>
      </w:r>
      <w:r>
        <w:rPr>
          <w:rFonts w:ascii="Arial" w:hAnsi="Arial" w:eastAsia="Times New Roman" w:cs="Arial"/>
          <w:color w:val="000000"/>
          <w:kern w:val="0"/>
          <w:sz w:val="24"/>
          <w:szCs w:val="24"/>
          <w:lang w:eastAsia="sk-SK"/>
        </w:rPr>
        <w:t> (deti pokračujúce v plnení povinného predprimárneho vzdelávania ešte jeden školský rok,</w:t>
      </w:r>
    </w:p>
    <w:p w14:paraId="0487D655">
      <w:pPr>
        <w:numPr>
          <w:ilvl w:val="0"/>
          <w:numId w:val="1"/>
        </w:num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b/>
          <w:bCs/>
          <w:color w:val="000000"/>
          <w:kern w:val="0"/>
          <w:sz w:val="24"/>
          <w:szCs w:val="24"/>
          <w:lang w:eastAsia="sk-SK"/>
        </w:rPr>
        <w:t>deti, ktoré majú právo na prijatie na predprimárne vzdelávanie – </w:t>
      </w:r>
      <w:r>
        <w:rPr>
          <w:rFonts w:ascii="Arial" w:hAnsi="Arial" w:eastAsia="Times New Roman" w:cs="Arial"/>
          <w:color w:val="000000"/>
          <w:kern w:val="0"/>
          <w:sz w:val="24"/>
          <w:szCs w:val="24"/>
          <w:lang w:eastAsia="sk-SK"/>
        </w:rPr>
        <w:t>deti, ktoré dovŕšia štyri roky veku do 31. augusta 202</w:t>
      </w:r>
      <w:r>
        <w:rPr>
          <w:rFonts w:hint="default" w:ascii="Arial" w:hAnsi="Arial" w:eastAsia="Times New Roman" w:cs="Arial"/>
          <w:color w:val="000000"/>
          <w:kern w:val="0"/>
          <w:sz w:val="24"/>
          <w:szCs w:val="24"/>
          <w:lang w:val="en-US" w:eastAsia="sk-SK"/>
        </w:rPr>
        <w:t>6</w:t>
      </w:r>
      <w:r>
        <w:rPr>
          <w:rFonts w:ascii="Arial" w:hAnsi="Arial" w:eastAsia="Times New Roman" w:cs="Arial"/>
          <w:color w:val="000000"/>
          <w:kern w:val="0"/>
          <w:sz w:val="24"/>
          <w:szCs w:val="24"/>
          <w:lang w:eastAsia="sk-SK"/>
        </w:rPr>
        <w:t xml:space="preserve"> (podľa predpisov účinných od 1. septembra 2023)</w:t>
      </w:r>
    </w:p>
    <w:p w14:paraId="3707F572">
      <w:pPr>
        <w:numPr>
          <w:ilvl w:val="0"/>
          <w:numId w:val="1"/>
        </w:num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b/>
          <w:bCs/>
          <w:color w:val="000000"/>
          <w:kern w:val="0"/>
          <w:sz w:val="24"/>
          <w:szCs w:val="24"/>
          <w:lang w:eastAsia="sk-SK"/>
        </w:rPr>
        <w:t>deti, ktoré majú právo na prijatie na predprimárne vzdelávanie – </w:t>
      </w:r>
      <w:r>
        <w:rPr>
          <w:rFonts w:ascii="Arial" w:hAnsi="Arial" w:eastAsia="Times New Roman" w:cs="Arial"/>
          <w:color w:val="000000"/>
          <w:kern w:val="0"/>
          <w:sz w:val="24"/>
          <w:szCs w:val="24"/>
          <w:lang w:eastAsia="sk-SK"/>
        </w:rPr>
        <w:t>deti, ktoré dovŕšia tri roky veku do 31. augusta 202</w:t>
      </w:r>
      <w:r>
        <w:rPr>
          <w:rFonts w:hint="default" w:ascii="Arial" w:hAnsi="Arial" w:eastAsia="Times New Roman" w:cs="Arial"/>
          <w:color w:val="000000"/>
          <w:kern w:val="0"/>
          <w:sz w:val="24"/>
          <w:szCs w:val="24"/>
          <w:lang w:val="en-US" w:eastAsia="sk-SK"/>
        </w:rPr>
        <w:t>6</w:t>
      </w:r>
      <w:r>
        <w:rPr>
          <w:rFonts w:ascii="Arial" w:hAnsi="Arial" w:eastAsia="Times New Roman" w:cs="Arial"/>
          <w:color w:val="000000"/>
          <w:kern w:val="0"/>
          <w:sz w:val="24"/>
          <w:szCs w:val="24"/>
          <w:lang w:eastAsia="sk-SK"/>
        </w:rPr>
        <w:t xml:space="preserve"> (podľa predpisov účinných od 1. septembra 2023)</w:t>
      </w:r>
    </w:p>
    <w:p w14:paraId="4E830572">
      <w:pPr>
        <w:shd w:val="clear" w:color="auto" w:fill="FFFFFF"/>
        <w:spacing w:after="0" w:line="480" w:lineRule="auto"/>
        <w:ind w:left="720"/>
        <w:rPr>
          <w:rFonts w:ascii="Arial" w:hAnsi="Arial" w:eastAsia="Times New Roman" w:cs="Arial"/>
          <w:color w:val="000000"/>
          <w:kern w:val="0"/>
          <w:sz w:val="24"/>
          <w:szCs w:val="24"/>
          <w:lang w:eastAsia="sk-SK"/>
        </w:rPr>
      </w:pPr>
    </w:p>
    <w:p w14:paraId="7D16B27B">
      <w:p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b/>
          <w:bCs/>
          <w:color w:val="000000"/>
          <w:kern w:val="0"/>
          <w:sz w:val="24"/>
          <w:szCs w:val="24"/>
          <w:lang w:eastAsia="sk-SK"/>
        </w:rPr>
        <w:t>Ostatné podmienky prijímania detí:</w:t>
      </w:r>
    </w:p>
    <w:p w14:paraId="6852B1ED">
      <w:p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V prípade zvýšeného záujmu zákonných zástupcov/rodičov o prijatie detí do materskej školy sa uprednostnia:</w:t>
      </w:r>
    </w:p>
    <w:p w14:paraId="0A20C551">
      <w:pPr>
        <w:numPr>
          <w:ilvl w:val="0"/>
          <w:numId w:val="2"/>
        </w:num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deti umiestnené v zariadení na základe rozhodnutia súdu</w:t>
      </w:r>
    </w:p>
    <w:p w14:paraId="22B78A9B">
      <w:pPr>
        <w:numPr>
          <w:ilvl w:val="0"/>
          <w:numId w:val="2"/>
        </w:num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súrodencov už navštevujúcich materskú školu Ľ. Štúra 15, Želiezovce, Želiezovce</w:t>
      </w:r>
    </w:p>
    <w:p w14:paraId="1E29AE60">
      <w:pPr>
        <w:numPr>
          <w:ilvl w:val="0"/>
          <w:numId w:val="2"/>
        </w:numPr>
        <w:shd w:val="clear" w:color="auto" w:fill="FFFFFF"/>
        <w:spacing w:after="0" w:line="48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deti z mesta Želiezovce</w:t>
      </w:r>
    </w:p>
    <w:p w14:paraId="584DFE39">
      <w:pPr>
        <w:shd w:val="clear" w:color="auto" w:fill="FFFFFF"/>
        <w:spacing w:after="0" w:line="24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 </w:t>
      </w:r>
    </w:p>
    <w:p w14:paraId="16A3DA1B">
      <w:pPr>
        <w:shd w:val="clear" w:color="auto" w:fill="FFFFFF"/>
        <w:spacing w:after="0" w:line="360" w:lineRule="auto"/>
        <w:rPr>
          <w:rFonts w:ascii="Arial" w:hAnsi="Arial" w:eastAsia="Times New Roman" w:cs="Arial"/>
          <w:color w:val="000000"/>
          <w:kern w:val="0"/>
          <w:sz w:val="24"/>
          <w:szCs w:val="24"/>
          <w:lang w:eastAsia="sk-SK"/>
        </w:rPr>
      </w:pPr>
      <w:r>
        <w:rPr>
          <w:rFonts w:ascii="Arial" w:hAnsi="Arial" w:eastAsia="Times New Roman" w:cs="Arial"/>
          <w:color w:val="000000"/>
          <w:kern w:val="0"/>
          <w:sz w:val="24"/>
          <w:szCs w:val="24"/>
          <w:lang w:eastAsia="sk-SK"/>
        </w:rPr>
        <w:t>Podľa § 144a školského zákona účinného od 1. januára 2022 na podaniach týkajúcich sa výchovy a vzdelávania, v ktorých sa rozhoduje v správnom konaní, teda aj na žiadosti, sa vyžaduje</w:t>
      </w:r>
      <w:r>
        <w:rPr>
          <w:rFonts w:ascii="Arial" w:hAnsi="Arial" w:eastAsia="Times New Roman" w:cs="Arial"/>
          <w:b/>
          <w:bCs/>
          <w:color w:val="000000"/>
          <w:kern w:val="0"/>
          <w:sz w:val="24"/>
          <w:szCs w:val="24"/>
          <w:lang w:eastAsia="sk-SK"/>
        </w:rPr>
        <w:t> podpis oboch zákonných zástupcov dieťaťa.</w:t>
      </w:r>
      <w:r>
        <w:rPr>
          <w:rFonts w:ascii="Arial" w:hAnsi="Arial" w:eastAsia="Times New Roman" w:cs="Arial"/>
          <w:color w:val="000000"/>
          <w:kern w:val="0"/>
          <w:sz w:val="24"/>
          <w:szCs w:val="24"/>
          <w:lang w:eastAsia="sk-SK"/>
        </w:rPr>
        <w:t> Podpis oboch zákonných zástupcov dieťaťa </w:t>
      </w:r>
      <w:r>
        <w:rPr>
          <w:rFonts w:ascii="Arial" w:hAnsi="Arial" w:eastAsia="Times New Roman" w:cs="Arial"/>
          <w:color w:val="000000"/>
          <w:kern w:val="0"/>
          <w:sz w:val="24"/>
          <w:szCs w:val="24"/>
          <w:u w:val="single"/>
          <w:lang w:eastAsia="sk-SK"/>
        </w:rPr>
        <w:t>sa nevyžaduje</w:t>
      </w:r>
      <w:r>
        <w:rPr>
          <w:rFonts w:ascii="Arial" w:hAnsi="Arial" w:eastAsia="Times New Roman" w:cs="Arial"/>
          <w:color w:val="000000"/>
          <w:kern w:val="0"/>
          <w:sz w:val="24"/>
          <w:szCs w:val="24"/>
          <w:lang w:eastAsia="sk-SK"/>
        </w:rPr>
        <w:t>, ak:</w:t>
      </w:r>
      <w:r>
        <w:rPr>
          <w:rFonts w:ascii="Arial" w:hAnsi="Arial" w:eastAsia="Times New Roman" w:cs="Arial"/>
          <w:color w:val="000000"/>
          <w:kern w:val="0"/>
          <w:sz w:val="24"/>
          <w:szCs w:val="24"/>
          <w:lang w:eastAsia="sk-SK"/>
        </w:rPr>
        <w:br w:type="textWrapping"/>
      </w:r>
      <w:r>
        <w:rPr>
          <w:rFonts w:ascii="Arial" w:hAnsi="Arial" w:eastAsia="Times New Roman" w:cs="Arial"/>
          <w:color w:val="000000"/>
          <w:kern w:val="0"/>
          <w:sz w:val="24"/>
          <w:szCs w:val="24"/>
          <w:lang w:eastAsia="sk-SK"/>
        </w:rPr>
        <w:t>– jednému z rodičov bol obmedzený alebo pozastavený výkon rodičovských práv a povinností vo veciach výchovy a vzdelávania dieťaťa, ak jeden z rodičov bol pozbavený výkonu rodičovských práv a povinností vo veciach výchovy a vzdelávania dieťaťa, alebo ak spôsobilosť jedného z rodičov na právne úkony bola obmedzená (spôsob preukázania uvedenej skutočnosti ani doklad, ktorým sa táto skutočnosť preukazuje, školský zákon neustanovuje, túto skutočnosť je možné preukázať napríklad neoverenou kópiou rozhodnutia súdu),</w:t>
      </w:r>
      <w:r>
        <w:rPr>
          <w:rFonts w:ascii="Arial" w:hAnsi="Arial" w:eastAsia="Times New Roman" w:cs="Arial"/>
          <w:color w:val="000000"/>
          <w:kern w:val="0"/>
          <w:sz w:val="24"/>
          <w:szCs w:val="24"/>
          <w:lang w:eastAsia="sk-SK"/>
        </w:rPr>
        <w:br w:type="textWrapping"/>
      </w:r>
      <w:r>
        <w:rPr>
          <w:rFonts w:ascii="Arial" w:hAnsi="Arial" w:eastAsia="Times New Roman" w:cs="Arial"/>
          <w:color w:val="000000"/>
          <w:kern w:val="0"/>
          <w:sz w:val="24"/>
          <w:szCs w:val="24"/>
          <w:lang w:eastAsia="sk-SK"/>
        </w:rPr>
        <w:t>– jeden z rodičov nie je schopný zo zdravotných dôvodov podpísať (spôsob preukázania uvedenej skutočnosti ani doklad, ktorým sa táto skutočnosť preukazuje, školský zákon neustanovuje, túto skutočnosť je možné preukázať napríklad potvrdením od všeobecného lekára zákonného zástupcu, ktoré nie je schopný sa podpísať) alebo</w:t>
      </w:r>
      <w:r>
        <w:rPr>
          <w:rFonts w:ascii="Arial" w:hAnsi="Arial" w:eastAsia="Times New Roman" w:cs="Arial"/>
          <w:color w:val="000000"/>
          <w:kern w:val="0"/>
          <w:sz w:val="24"/>
          <w:szCs w:val="24"/>
          <w:lang w:eastAsia="sk-SK"/>
        </w:rPr>
        <w:br w:type="textWrapping"/>
      </w:r>
      <w:r>
        <w:rPr>
          <w:rFonts w:ascii="Arial" w:hAnsi="Arial" w:eastAsia="Times New Roman" w:cs="Arial"/>
          <w:color w:val="000000"/>
          <w:kern w:val="0"/>
          <w:sz w:val="24"/>
          <w:szCs w:val="24"/>
          <w:lang w:eastAsia="sk-SK"/>
        </w:rPr>
        <w:t>– vec neznesie odklad, zadováženie súhlasu druhého rodiča je spojené s ťažko prekonateľnou prekážkou a je to v najlepšom záujme dieťaťa (spôsob preukázania uvedenej skutočnosti ani doklad, ktorým sa táto skutočnosť preukazuje, školský zákon neustanovuje, túto skutočnosť je možné preukázať napríklad písomným vyhlásením ).</w:t>
      </w:r>
      <w:r>
        <w:rPr>
          <w:rFonts w:ascii="Arial" w:hAnsi="Arial" w:eastAsia="Times New Roman" w:cs="Arial"/>
          <w:color w:val="000000"/>
          <w:kern w:val="0"/>
          <w:sz w:val="24"/>
          <w:szCs w:val="24"/>
          <w:lang w:eastAsia="sk-SK"/>
        </w:rPr>
        <w:br w:type="textWrapping"/>
      </w:r>
      <w:r>
        <w:rPr>
          <w:rFonts w:ascii="Arial" w:hAnsi="Arial" w:eastAsia="Times New Roman" w:cs="Arial"/>
          <w:color w:val="000000"/>
          <w:kern w:val="0"/>
          <w:sz w:val="24"/>
          <w:szCs w:val="24"/>
          <w:lang w:eastAsia="sk-SK"/>
        </w:rPr>
        <w:t> </w:t>
      </w:r>
    </w:p>
    <w:p w14:paraId="37BB9F7B">
      <w:pPr>
        <w:shd w:val="clear" w:color="auto" w:fill="FFFFFF"/>
        <w:spacing w:after="0" w:line="480" w:lineRule="auto"/>
        <w:jc w:val="center"/>
        <w:rPr>
          <w:rFonts w:ascii="Arial" w:hAnsi="Arial" w:eastAsia="Times New Roman" w:cs="Arial"/>
          <w:color w:val="000000"/>
          <w:kern w:val="0"/>
          <w:sz w:val="24"/>
          <w:szCs w:val="24"/>
          <w:lang w:eastAsia="sk-SK"/>
        </w:rPr>
      </w:pPr>
      <w:r>
        <w:rPr>
          <w:rFonts w:ascii="Arial" w:hAnsi="Arial" w:eastAsia="Times New Roman" w:cs="Arial"/>
          <w:b/>
          <w:bCs/>
          <w:color w:val="000000"/>
          <w:kern w:val="0"/>
          <w:sz w:val="24"/>
          <w:szCs w:val="24"/>
          <w:lang w:eastAsia="sk-SK"/>
        </w:rPr>
        <w:t>Zákonní zástupcovia sa môžu dohodnúť, že žiadosť podpisuje iba jeden zákonný zástupca a rozhodnutie sa doručí iba jednému zákonnému zástupcovi. </w:t>
      </w:r>
      <w:r>
        <w:rPr>
          <w:rFonts w:ascii="Arial" w:hAnsi="Arial" w:eastAsia="Times New Roman" w:cs="Arial"/>
          <w:color w:val="000000"/>
          <w:kern w:val="0"/>
          <w:sz w:val="24"/>
          <w:szCs w:val="24"/>
          <w:lang w:eastAsia="sk-SK"/>
        </w:rPr>
        <w:t>V prípade, ak sa zákonní zástupcovia takto dohodnú, je potrebné túto skutočnosť doložiť spolu so žiadosťou o prijatie dieťaťa do MŠ </w:t>
      </w:r>
    </w:p>
    <w:p w14:paraId="2E3415B7">
      <w:pPr>
        <w:shd w:val="clear" w:color="auto" w:fill="FFFFFF"/>
        <w:spacing w:after="0" w:line="480" w:lineRule="auto"/>
        <w:jc w:val="center"/>
        <w:rPr>
          <w:rFonts w:ascii="Arial" w:hAnsi="Arial" w:eastAsia="Times New Roman" w:cs="Arial"/>
          <w:color w:val="000000"/>
          <w:kern w:val="0"/>
          <w:sz w:val="24"/>
          <w:szCs w:val="24"/>
          <w:lang w:eastAsia="sk-SK"/>
        </w:rPr>
      </w:pPr>
    </w:p>
    <w:p w14:paraId="2DEBDFD8">
      <w:pPr>
        <w:jc w:val="both"/>
        <w:rPr>
          <w:rFonts w:ascii="Century" w:hAnsi="Century"/>
          <w:sz w:val="32"/>
          <w:szCs w:val="32"/>
          <w:lang w:eastAsia="sk-SK"/>
        </w:rPr>
      </w:pPr>
      <w:r>
        <w:rPr>
          <w:rFonts w:ascii="Arial" w:hAnsi="Arial" w:eastAsia="Times New Roman" w:cs="Arial"/>
          <w:color w:val="000000"/>
          <w:kern w:val="0"/>
          <w:sz w:val="19"/>
          <w:szCs w:val="19"/>
          <w:shd w:val="clear" w:color="auto" w:fill="FFFFFF"/>
          <w:lang w:eastAsia="sk-SK"/>
        </w:rPr>
        <w:br w:type="textWrapping"/>
      </w:r>
      <w:r>
        <w:rPr>
          <w:rFonts w:ascii="Arial" w:hAnsi="Arial" w:eastAsia="Times New Roman" w:cs="Arial"/>
          <w:color w:val="000000"/>
          <w:kern w:val="0"/>
          <w:sz w:val="19"/>
          <w:szCs w:val="19"/>
          <w:shd w:val="clear" w:color="auto" w:fill="FFFFFF"/>
          <w:lang w:eastAsia="sk-SK"/>
        </w:rPr>
        <w:br w:type="textWrapping"/>
      </w:r>
      <w:r>
        <w:rPr>
          <w:rFonts w:ascii="Century" w:hAnsi="Century"/>
          <w:sz w:val="32"/>
          <w:szCs w:val="32"/>
          <w:lang w:eastAsia="sk-SK"/>
        </w:rPr>
        <w:t>PRE DIEŤA, KTORÉ K 31.8.202</w:t>
      </w:r>
      <w:r>
        <w:rPr>
          <w:rFonts w:hint="default" w:ascii="Century" w:hAnsi="Century"/>
          <w:sz w:val="32"/>
          <w:szCs w:val="32"/>
          <w:lang w:val="en-US" w:eastAsia="sk-SK"/>
        </w:rPr>
        <w:t>6</w:t>
      </w:r>
      <w:bookmarkStart w:id="0" w:name="_GoBack"/>
      <w:bookmarkEnd w:id="0"/>
      <w:r>
        <w:rPr>
          <w:rFonts w:ascii="Century" w:hAnsi="Century"/>
          <w:sz w:val="32"/>
          <w:szCs w:val="32"/>
          <w:lang w:eastAsia="sk-SK"/>
        </w:rPr>
        <w:t xml:space="preserve"> DOSIAHNE </w:t>
      </w:r>
      <w:r>
        <w:rPr>
          <w:rFonts w:ascii="Century" w:hAnsi="Century"/>
          <w:b/>
          <w:sz w:val="32"/>
          <w:szCs w:val="32"/>
          <w:lang w:eastAsia="sk-SK"/>
        </w:rPr>
        <w:t>5. ROK</w:t>
      </w:r>
      <w:r>
        <w:rPr>
          <w:rFonts w:ascii="Century" w:hAnsi="Century"/>
          <w:sz w:val="32"/>
          <w:szCs w:val="32"/>
          <w:lang w:eastAsia="sk-SK"/>
        </w:rPr>
        <w:t xml:space="preserve"> VEKU, JE PREDPRIMÁRNE VZDELÁVANIE </w:t>
      </w:r>
      <w:r>
        <w:rPr>
          <w:rFonts w:ascii="Century" w:hAnsi="Century"/>
          <w:b/>
          <w:sz w:val="32"/>
          <w:szCs w:val="32"/>
          <w:lang w:eastAsia="sk-SK"/>
        </w:rPr>
        <w:t>POVINNÉ</w:t>
      </w:r>
      <w:r>
        <w:rPr>
          <w:rFonts w:ascii="Century" w:hAnsi="Century"/>
          <w:sz w:val="32"/>
          <w:szCs w:val="32"/>
          <w:lang w:eastAsia="sk-SK"/>
        </w:rPr>
        <w:t>!</w:t>
      </w:r>
    </w:p>
    <w:p w14:paraId="67C9FBC0"/>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EE"/>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entury">
    <w:panose1 w:val="02040604050505020304"/>
    <w:charset w:val="EE"/>
    <w:family w:val="roman"/>
    <w:pitch w:val="default"/>
    <w:sig w:usb0="00000287" w:usb1="00000000" w:usb2="00000000" w:usb3="00000000" w:csb0="2000009F" w:csb1="DFD70000"/>
  </w:font>
  <w:font w:name="Arial">
    <w:panose1 w:val="020B0604020202020204"/>
    <w:charset w:val="EE"/>
    <w:family w:val="swiss"/>
    <w:pitch w:val="default"/>
    <w:sig w:usb0="E0002EFF" w:usb1="C000785B" w:usb2="00000009" w:usb3="00000000" w:csb0="400001FF" w:csb1="FFFF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EE"/>
    <w:family w:val="modern"/>
    <w:pitch w:val="default"/>
    <w:sig w:usb0="E0002E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A4495F"/>
    <w:multiLevelType w:val="multilevel"/>
    <w:tmpl w:val="30A4495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62D55766"/>
    <w:multiLevelType w:val="multilevel"/>
    <w:tmpl w:val="62D5576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691"/>
    <w:rsid w:val="00625F03"/>
    <w:rsid w:val="00630480"/>
    <w:rsid w:val="008678C7"/>
    <w:rsid w:val="00947FA7"/>
    <w:rsid w:val="009A57DE"/>
    <w:rsid w:val="00A03452"/>
    <w:rsid w:val="00A80556"/>
    <w:rsid w:val="00AC233A"/>
    <w:rsid w:val="00B30AF3"/>
    <w:rsid w:val="00F85691"/>
    <w:rsid w:val="103A7F7A"/>
  </w:rsids>
  <m:mathPr>
    <m:mathFont m:val="Cambria Math"/>
    <m:brkBin m:val="before"/>
    <m:brkBinSub m:val="--"/>
    <m:smallFrac m:val="0"/>
    <m:dispDef/>
    <m:lMargin m:val="0"/>
    <m:rMargin m:val="0"/>
    <m:defJc m:val="centerGroup"/>
    <m:wrapIndent m:val="1440"/>
    <m:intLim m:val="subSup"/>
    <m:naryLim m:val="undOvr"/>
  </m:mathPr>
  <w:themeFontLang w:val="sk-SK"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sk-SK"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semiHidden/>
    <w:unhideWhenUsed/>
    <w:uiPriority w:val="99"/>
    <w:rPr>
      <w:color w:val="0000FF"/>
      <w:u w:val="single"/>
    </w:rPr>
  </w:style>
  <w:style w:type="paragraph" w:styleId="5">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kern w:val="0"/>
      <w:sz w:val="24"/>
      <w:szCs w:val="24"/>
      <w:lang w:eastAsia="sk-SK"/>
    </w:rPr>
  </w:style>
  <w:style w:type="character" w:styleId="6">
    <w:name w:val="Strong"/>
    <w:basedOn w:val="2"/>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447</Words>
  <Characters>2553</Characters>
  <Lines>21</Lines>
  <Paragraphs>5</Paragraphs>
  <TotalTime>9</TotalTime>
  <ScaleCrop>false</ScaleCrop>
  <LinksUpToDate>false</LinksUpToDate>
  <CharactersWithSpaces>2995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2025-05-05T12:50:00Z</dcterms:created>
  <dc:creator>A</dc:creator>
  <cp:lastModifiedBy>LIENKA</cp:lastModifiedBy>
  <dcterms:modified xsi:type="dcterms:W3CDTF">2026-04-20T11:12:13Z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7C0A573F62AB44928F547ED4A0C465C5_13</vt:lpwstr>
  </property>
</Properties>
</file>